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CA69" w14:textId="77777777" w:rsidR="00E31FE4" w:rsidRPr="007E4A7C" w:rsidRDefault="00E31FE4" w:rsidP="00E31FE4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61D0CFD2" w14:textId="0F4DE4BC" w:rsidR="00E31FE4" w:rsidRPr="007E4A7C" w:rsidRDefault="00E31FE4" w:rsidP="00E31FE4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="008071C9">
        <w:rPr>
          <w:rFonts w:cstheme="minorHAnsi"/>
          <w:sz w:val="24"/>
          <w:szCs w:val="24"/>
        </w:rPr>
        <w:t>EBSERH</w:t>
      </w:r>
    </w:p>
    <w:bookmarkEnd w:id="1"/>
    <w:p w14:paraId="1EC8FE14" w14:textId="3C5581EA" w:rsidR="000B5D73" w:rsidRDefault="00105BC2" w:rsidP="000B5D73">
      <w:pPr>
        <w:pStyle w:val="PargrafodaLista"/>
        <w:numPr>
          <w:ilvl w:val="0"/>
          <w:numId w:val="32"/>
        </w:numPr>
        <w:ind w:left="142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S</w:t>
      </w:r>
      <w:r w:rsidR="000B5D73" w:rsidRPr="000B5D73">
        <w:rPr>
          <w:rFonts w:cstheme="minorHAnsi"/>
          <w:color w:val="333333"/>
          <w:sz w:val="24"/>
          <w:szCs w:val="24"/>
          <w:shd w:val="clear" w:color="auto" w:fill="FFFFFF"/>
        </w:rPr>
        <w:t>eis hospitais da Rede integraram os centros de pesquisa brasileiros responsáveis por testar, em larga escala, a segurança e eficácia de três vacinas contra a covid-19.</w:t>
      </w:r>
    </w:p>
    <w:p w14:paraId="29082DAC" w14:textId="3DD3D7AB" w:rsidR="008539A2" w:rsidRDefault="00C83155" w:rsidP="000B5D73">
      <w:pPr>
        <w:pStyle w:val="PargrafodaLista"/>
        <w:numPr>
          <w:ilvl w:val="0"/>
          <w:numId w:val="32"/>
        </w:numPr>
        <w:ind w:left="142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R</w:t>
      </w:r>
      <w:r w:rsidR="008539A2" w:rsidRPr="008539A2">
        <w:rPr>
          <w:rFonts w:cstheme="minorHAnsi"/>
          <w:color w:val="333333"/>
          <w:sz w:val="24"/>
          <w:szCs w:val="24"/>
          <w:shd w:val="clear" w:color="auto" w:fill="FFFFFF"/>
        </w:rPr>
        <w:t>epactuados 40 Contratos para a adequação da oferta de serviços, com a habilitação de leitos exclusivos para atendimento covid-19, com a formalização de novos acordos com os gestores do SUS e incremento dos recursos financeiros, garantindo assim a sustentabilidade dos hospitais nesse período de crise sanitária e gerando um impacto financeiro potencial de R$ 58 milhões.</w:t>
      </w:r>
    </w:p>
    <w:p w14:paraId="3522ED84" w14:textId="13BAA504" w:rsidR="000958AD" w:rsidRDefault="000958AD" w:rsidP="000958AD">
      <w:pPr>
        <w:pStyle w:val="PargrafodaLista"/>
        <w:ind w:left="14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6DCB281B" wp14:editId="4E4A4EB7">
            <wp:extent cx="4333461" cy="3744676"/>
            <wp:effectExtent l="0" t="0" r="0" b="8255"/>
            <wp:docPr id="1" name="Imagem 1" descr="Tela de computado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la de computador com texto preto sobre fundo branco&#10;&#10;Descrição gerada automaticamente"/>
                    <pic:cNvPicPr/>
                  </pic:nvPicPr>
                  <pic:blipFill rotWithShape="1">
                    <a:blip r:embed="rId6"/>
                    <a:srcRect l="60317" t="16100" r="14278" b="10732"/>
                    <a:stretch/>
                  </pic:blipFill>
                  <pic:spPr bwMode="auto">
                    <a:xfrm>
                      <a:off x="0" y="0"/>
                      <a:ext cx="4349591" cy="3758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593875" w14:textId="77777777" w:rsidR="000958AD" w:rsidRPr="00915016" w:rsidRDefault="000958AD" w:rsidP="000958AD">
      <w:pPr>
        <w:pStyle w:val="PargrafodaLista"/>
        <w:ind w:left="14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33780BB" w14:textId="77777777" w:rsidR="000958AD" w:rsidRDefault="000958AD" w:rsidP="000958AD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55358E">
        <w:rPr>
          <w:rFonts w:cstheme="minorHAnsi"/>
          <w:color w:val="8EAADB" w:themeColor="accent1" w:themeTint="99"/>
          <w:sz w:val="24"/>
          <w:szCs w:val="24"/>
        </w:rPr>
        <w:t>Fonte:</w:t>
      </w:r>
      <w:r w:rsidRPr="001B5F91">
        <w:t xml:space="preserve"> </w:t>
      </w:r>
      <w:hyperlink r:id="rId7" w:history="1">
        <w:r w:rsidRPr="0017614E">
          <w:rPr>
            <w:color w:val="8EAADB" w:themeColor="accent1" w:themeTint="99"/>
          </w:rPr>
          <w:t>https://www.gov.br/ebserh/pt-br/governanca/governanca-corporativa/carta-anual-de-politicas-publicas-e-governanca-corporativa/CartaAnual2021Base2020.pdf</w:t>
        </w:r>
      </w:hyperlink>
    </w:p>
    <w:p w14:paraId="3307665B" w14:textId="63526730" w:rsidR="007E4A7C" w:rsidRDefault="007E4A7C" w:rsidP="001B5F91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bookmarkStart w:id="2" w:name="_Hlk73114083"/>
      <w:r w:rsidRPr="007E4A7C">
        <w:rPr>
          <w:rFonts w:cstheme="minorHAnsi"/>
          <w:color w:val="538135" w:themeColor="accent6" w:themeShade="BF"/>
          <w:sz w:val="24"/>
          <w:szCs w:val="24"/>
        </w:rPr>
        <w:t xml:space="preserve">Ações </w:t>
      </w:r>
      <w:r w:rsidR="001C1827">
        <w:rPr>
          <w:rFonts w:cstheme="minorHAnsi"/>
          <w:color w:val="538135" w:themeColor="accent6" w:themeShade="BF"/>
          <w:sz w:val="24"/>
          <w:szCs w:val="24"/>
        </w:rPr>
        <w:t>ASG</w:t>
      </w:r>
      <w:r w:rsidRPr="007E4A7C">
        <w:rPr>
          <w:rFonts w:cstheme="minorHAnsi"/>
          <w:color w:val="538135" w:themeColor="accent6" w:themeShade="BF"/>
          <w:sz w:val="24"/>
          <w:szCs w:val="24"/>
        </w:rPr>
        <w:t>:</w:t>
      </w:r>
    </w:p>
    <w:bookmarkEnd w:id="2"/>
    <w:p w14:paraId="0627C90B" w14:textId="77777777" w:rsidR="00E21EA3" w:rsidRPr="005E21B8" w:rsidRDefault="00EA22A0" w:rsidP="001B5F91">
      <w:pPr>
        <w:pStyle w:val="Pa36"/>
        <w:numPr>
          <w:ilvl w:val="0"/>
          <w:numId w:val="30"/>
        </w:numPr>
        <w:tabs>
          <w:tab w:val="num" w:pos="0"/>
        </w:tabs>
        <w:spacing w:after="100"/>
        <w:ind w:left="0" w:firstLine="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5E21B8">
        <w:rPr>
          <w:rFonts w:asciiTheme="minorHAnsi" w:hAnsiTheme="minorHAnsi" w:cstheme="minorHAnsi"/>
          <w:color w:val="538135" w:themeColor="accent6" w:themeShade="BF"/>
        </w:rPr>
        <w:t xml:space="preserve">Inovação tecnológica </w:t>
      </w:r>
    </w:p>
    <w:p w14:paraId="1DBF4B21" w14:textId="0EF0DFDA" w:rsidR="00927648" w:rsidRPr="009C1995" w:rsidRDefault="00927648" w:rsidP="0017614E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C1995">
        <w:rPr>
          <w:rFonts w:cstheme="minorHAnsi"/>
          <w:color w:val="333333"/>
          <w:sz w:val="24"/>
          <w:szCs w:val="24"/>
          <w:shd w:val="clear" w:color="auto" w:fill="FFFFFF"/>
        </w:rPr>
        <w:t>O AGHU – Plataforma de Gestão Hospitalar da Rede Ebserh - está presente nos 40 HUFs filiais, e alcançou em 2020 cerca de 85 mil usuários, com 24 milhões de pacientes registrados.</w:t>
      </w:r>
      <w:r w:rsidR="00BC1A92" w:rsidRPr="00BC1A92">
        <w:rPr>
          <w:rFonts w:cstheme="minorHAnsi"/>
          <w:color w:val="333333"/>
          <w:sz w:val="24"/>
          <w:szCs w:val="24"/>
          <w:shd w:val="clear" w:color="auto" w:fill="FFFFFF"/>
        </w:rPr>
        <w:t xml:space="preserve"> Até dezembro de 2020, foi concluída a implantação dos módulos que correspondem ao prontuário eletrônico: Pacientes, Internação, Ambulatório Administrativo, Ambulatório Assistencial, Prescrição Médica, Prescrição de Enfermagem e Exames.</w:t>
      </w:r>
    </w:p>
    <w:p w14:paraId="3AEAB0F9" w14:textId="56749702" w:rsidR="00514A90" w:rsidRPr="005E21B8" w:rsidRDefault="00514A90" w:rsidP="001B5F91">
      <w:pPr>
        <w:pStyle w:val="Default"/>
        <w:tabs>
          <w:tab w:val="num" w:pos="0"/>
        </w:tabs>
        <w:jc w:val="both"/>
        <w:rPr>
          <w:rFonts w:cstheme="minorHAnsi"/>
          <w:color w:val="8EAADB" w:themeColor="accent1" w:themeTint="99"/>
        </w:rPr>
      </w:pPr>
    </w:p>
    <w:p w14:paraId="0EE7193C" w14:textId="681F1558" w:rsidR="00AE3597" w:rsidRPr="009248C1" w:rsidRDefault="00744C8C" w:rsidP="001B5F91">
      <w:pPr>
        <w:tabs>
          <w:tab w:val="num" w:pos="0"/>
        </w:tabs>
        <w:jc w:val="both"/>
        <w:rPr>
          <w:rFonts w:cstheme="minorHAnsi"/>
          <w:bCs/>
          <w:sz w:val="24"/>
          <w:szCs w:val="24"/>
          <w:u w:val="single"/>
        </w:rPr>
      </w:pPr>
      <w:r w:rsidRPr="009248C1">
        <w:rPr>
          <w:rFonts w:cstheme="minorHAnsi"/>
          <w:bCs/>
          <w:sz w:val="24"/>
          <w:szCs w:val="24"/>
        </w:rPr>
        <w:t xml:space="preserve">- </w:t>
      </w:r>
      <w:r w:rsidR="00AE3597" w:rsidRPr="009248C1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21876A42" w14:textId="1C805D5B" w:rsidR="001315E3" w:rsidRDefault="00105BC2" w:rsidP="009C1995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lastRenderedPageBreak/>
        <w:t>A</w:t>
      </w:r>
      <w:r w:rsidR="0017614E" w:rsidRPr="009C1995">
        <w:rPr>
          <w:rFonts w:cstheme="minorHAnsi"/>
          <w:color w:val="333333"/>
          <w:sz w:val="24"/>
          <w:szCs w:val="24"/>
          <w:shd w:val="clear" w:color="auto" w:fill="FFFFFF"/>
        </w:rPr>
        <w:t xml:space="preserve"> maior parte dos recursos de investimento foi direcionada à aquisição de equipamentos médico hospitalares, passando de R$ 106,31 milhões para R$ 132,78 milhões. </w:t>
      </w:r>
    </w:p>
    <w:p w14:paraId="19431362" w14:textId="60E02590" w:rsidR="000203F4" w:rsidRPr="009C1995" w:rsidRDefault="000203F4" w:rsidP="009C1995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Em decorrência da pandemia, f</w:t>
      </w:r>
      <w:r w:rsidRPr="000203F4">
        <w:rPr>
          <w:rFonts w:cstheme="minorHAnsi"/>
          <w:color w:val="333333"/>
          <w:sz w:val="24"/>
          <w:szCs w:val="24"/>
          <w:shd w:val="clear" w:color="auto" w:fill="FFFFFF"/>
        </w:rPr>
        <w:t xml:space="preserve">oram abertos quatro processos seletivos emergenciais (PSE), com abrangência nacional (40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Hospitais Universitários Federais e </w:t>
      </w:r>
      <w:r w:rsidRPr="000203F4">
        <w:rPr>
          <w:rFonts w:cstheme="minorHAnsi"/>
          <w:color w:val="333333"/>
          <w:sz w:val="24"/>
          <w:szCs w:val="24"/>
          <w:shd w:val="clear" w:color="auto" w:fill="FFFFFF"/>
        </w:rPr>
        <w:t>Administração Central), para o provimento profissionais aptos a atuar no combate à covid-19</w:t>
      </w:r>
      <w:r w:rsidR="00BC1A92">
        <w:rPr>
          <w:rFonts w:cstheme="minorHAnsi"/>
          <w:color w:val="333333"/>
          <w:sz w:val="24"/>
          <w:szCs w:val="24"/>
          <w:shd w:val="clear" w:color="auto" w:fill="FFFFFF"/>
        </w:rPr>
        <w:t xml:space="preserve">. </w:t>
      </w:r>
    </w:p>
    <w:p w14:paraId="2F926AED" w14:textId="56096D38" w:rsidR="0017614E" w:rsidRDefault="0017614E" w:rsidP="009C1995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C1995">
        <w:rPr>
          <w:rFonts w:cstheme="minorHAnsi"/>
          <w:color w:val="333333"/>
          <w:sz w:val="24"/>
          <w:szCs w:val="24"/>
          <w:shd w:val="clear" w:color="auto" w:fill="FFFFFF"/>
        </w:rPr>
        <w:t xml:space="preserve">No exercício de 2020, </w:t>
      </w:r>
      <w:r w:rsidR="00C83155">
        <w:rPr>
          <w:rFonts w:cstheme="minorHAnsi"/>
          <w:color w:val="333333"/>
          <w:sz w:val="24"/>
          <w:szCs w:val="24"/>
          <w:shd w:val="clear" w:color="auto" w:fill="FFFFFF"/>
        </w:rPr>
        <w:t>a empresa contou</w:t>
      </w:r>
      <w:r w:rsidRPr="009C1995">
        <w:rPr>
          <w:rFonts w:cstheme="minorHAnsi"/>
          <w:color w:val="333333"/>
          <w:sz w:val="24"/>
          <w:szCs w:val="24"/>
          <w:shd w:val="clear" w:color="auto" w:fill="FFFFFF"/>
        </w:rPr>
        <w:t xml:space="preserve"> também com parcelas de créditos extraordinários destinados ao combate à covid-19, contempladas nas despesas de pessoal e benefícios para contratação emergencial de profissionais temporários, além de recursos de custeio e investimentos diversos e também por meio de emendas parlamentares</w:t>
      </w:r>
      <w:r w:rsidR="009C1995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14:paraId="6E721805" w14:textId="77E373EB" w:rsidR="003C0DBB" w:rsidRPr="007E4A7C" w:rsidRDefault="003C0DBB" w:rsidP="001B5F91">
      <w:pPr>
        <w:tabs>
          <w:tab w:val="num" w:pos="0"/>
        </w:tabs>
        <w:jc w:val="both"/>
        <w:rPr>
          <w:rFonts w:cstheme="minorHAnsi"/>
          <w:color w:val="FF0000"/>
          <w:sz w:val="24"/>
          <w:szCs w:val="24"/>
        </w:rPr>
      </w:pPr>
    </w:p>
    <w:p w14:paraId="3955C035" w14:textId="77777777" w:rsidR="0082397A" w:rsidRPr="007E4A7C" w:rsidRDefault="0082397A" w:rsidP="001B5F91">
      <w:pPr>
        <w:tabs>
          <w:tab w:val="num" w:pos="0"/>
        </w:tabs>
        <w:jc w:val="both"/>
        <w:rPr>
          <w:rFonts w:cstheme="minorHAnsi"/>
          <w:sz w:val="24"/>
          <w:szCs w:val="24"/>
        </w:rPr>
      </w:pPr>
    </w:p>
    <w:sectPr w:rsidR="0082397A" w:rsidRPr="007E4A7C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BF25AA5"/>
    <w:multiLevelType w:val="hybridMultilevel"/>
    <w:tmpl w:val="E18AF77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9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E0C2059"/>
    <w:multiLevelType w:val="hybridMultilevel"/>
    <w:tmpl w:val="651AF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66D027D"/>
    <w:multiLevelType w:val="hybridMultilevel"/>
    <w:tmpl w:val="0E0C4DD2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4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23"/>
  </w:num>
  <w:num w:numId="3">
    <w:abstractNumId w:val="8"/>
  </w:num>
  <w:num w:numId="4">
    <w:abstractNumId w:val="25"/>
  </w:num>
  <w:num w:numId="5">
    <w:abstractNumId w:val="28"/>
  </w:num>
  <w:num w:numId="6">
    <w:abstractNumId w:val="21"/>
  </w:num>
  <w:num w:numId="7">
    <w:abstractNumId w:val="14"/>
  </w:num>
  <w:num w:numId="8">
    <w:abstractNumId w:val="16"/>
  </w:num>
  <w:num w:numId="9">
    <w:abstractNumId w:val="20"/>
  </w:num>
  <w:num w:numId="10">
    <w:abstractNumId w:val="26"/>
  </w:num>
  <w:num w:numId="11">
    <w:abstractNumId w:val="0"/>
  </w:num>
  <w:num w:numId="12">
    <w:abstractNumId w:val="22"/>
  </w:num>
  <w:num w:numId="13">
    <w:abstractNumId w:val="12"/>
  </w:num>
  <w:num w:numId="14">
    <w:abstractNumId w:val="18"/>
  </w:num>
  <w:num w:numId="15">
    <w:abstractNumId w:val="27"/>
  </w:num>
  <w:num w:numId="16">
    <w:abstractNumId w:val="13"/>
  </w:num>
  <w:num w:numId="17">
    <w:abstractNumId w:val="6"/>
  </w:num>
  <w:num w:numId="18">
    <w:abstractNumId w:val="17"/>
  </w:num>
  <w:num w:numId="19">
    <w:abstractNumId w:val="11"/>
  </w:num>
  <w:num w:numId="20">
    <w:abstractNumId w:val="10"/>
  </w:num>
  <w:num w:numId="21">
    <w:abstractNumId w:val="24"/>
  </w:num>
  <w:num w:numId="22">
    <w:abstractNumId w:val="3"/>
  </w:num>
  <w:num w:numId="23">
    <w:abstractNumId w:val="29"/>
  </w:num>
  <w:num w:numId="24">
    <w:abstractNumId w:val="4"/>
  </w:num>
  <w:num w:numId="25">
    <w:abstractNumId w:val="9"/>
  </w:num>
  <w:num w:numId="26">
    <w:abstractNumId w:val="30"/>
  </w:num>
  <w:num w:numId="27">
    <w:abstractNumId w:val="1"/>
  </w:num>
  <w:num w:numId="28">
    <w:abstractNumId w:val="31"/>
  </w:num>
  <w:num w:numId="29">
    <w:abstractNumId w:val="2"/>
  </w:num>
  <w:num w:numId="30">
    <w:abstractNumId w:val="19"/>
  </w:num>
  <w:num w:numId="31">
    <w:abstractNumId w:val="5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203F4"/>
    <w:rsid w:val="00036253"/>
    <w:rsid w:val="00042091"/>
    <w:rsid w:val="00044CE8"/>
    <w:rsid w:val="00045782"/>
    <w:rsid w:val="00091CEE"/>
    <w:rsid w:val="00094BFE"/>
    <w:rsid w:val="000958AD"/>
    <w:rsid w:val="000A1DB7"/>
    <w:rsid w:val="000A26A2"/>
    <w:rsid w:val="000A51B2"/>
    <w:rsid w:val="000B2675"/>
    <w:rsid w:val="000B5D73"/>
    <w:rsid w:val="000B63A8"/>
    <w:rsid w:val="000E1528"/>
    <w:rsid w:val="000E7616"/>
    <w:rsid w:val="00105BC2"/>
    <w:rsid w:val="001142EC"/>
    <w:rsid w:val="00125B2C"/>
    <w:rsid w:val="00127953"/>
    <w:rsid w:val="001315E3"/>
    <w:rsid w:val="0016417D"/>
    <w:rsid w:val="001678D9"/>
    <w:rsid w:val="0017614E"/>
    <w:rsid w:val="00182948"/>
    <w:rsid w:val="00186B06"/>
    <w:rsid w:val="00192F4E"/>
    <w:rsid w:val="001A15B5"/>
    <w:rsid w:val="001A3146"/>
    <w:rsid w:val="001B5F91"/>
    <w:rsid w:val="001C1827"/>
    <w:rsid w:val="001D33E1"/>
    <w:rsid w:val="001D430D"/>
    <w:rsid w:val="001E2C59"/>
    <w:rsid w:val="0020466A"/>
    <w:rsid w:val="00236E32"/>
    <w:rsid w:val="00291BAF"/>
    <w:rsid w:val="00291BDC"/>
    <w:rsid w:val="00293D16"/>
    <w:rsid w:val="00294FC5"/>
    <w:rsid w:val="00296FD0"/>
    <w:rsid w:val="002A050A"/>
    <w:rsid w:val="002C7FA0"/>
    <w:rsid w:val="002D59B5"/>
    <w:rsid w:val="00304669"/>
    <w:rsid w:val="00306146"/>
    <w:rsid w:val="00335399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33BA"/>
    <w:rsid w:val="003C5DDE"/>
    <w:rsid w:val="003D5015"/>
    <w:rsid w:val="003D5C52"/>
    <w:rsid w:val="003E71F3"/>
    <w:rsid w:val="003F4341"/>
    <w:rsid w:val="004025B2"/>
    <w:rsid w:val="00422C5C"/>
    <w:rsid w:val="00465774"/>
    <w:rsid w:val="00480190"/>
    <w:rsid w:val="0048447F"/>
    <w:rsid w:val="00496B1F"/>
    <w:rsid w:val="004A31C4"/>
    <w:rsid w:val="004A5946"/>
    <w:rsid w:val="004A66CB"/>
    <w:rsid w:val="004B35D3"/>
    <w:rsid w:val="004E6E0A"/>
    <w:rsid w:val="00503A1D"/>
    <w:rsid w:val="005109D9"/>
    <w:rsid w:val="00514A89"/>
    <w:rsid w:val="00514A90"/>
    <w:rsid w:val="00536CDF"/>
    <w:rsid w:val="00541560"/>
    <w:rsid w:val="0055358E"/>
    <w:rsid w:val="00560DB0"/>
    <w:rsid w:val="0059521F"/>
    <w:rsid w:val="005A6E55"/>
    <w:rsid w:val="005B394F"/>
    <w:rsid w:val="005B5E61"/>
    <w:rsid w:val="005C4DD1"/>
    <w:rsid w:val="005D09C4"/>
    <w:rsid w:val="005E21B8"/>
    <w:rsid w:val="005F1AC6"/>
    <w:rsid w:val="0060180F"/>
    <w:rsid w:val="00631E65"/>
    <w:rsid w:val="006377DA"/>
    <w:rsid w:val="00647AEC"/>
    <w:rsid w:val="00654732"/>
    <w:rsid w:val="00672851"/>
    <w:rsid w:val="0067552A"/>
    <w:rsid w:val="00682547"/>
    <w:rsid w:val="00683755"/>
    <w:rsid w:val="006D2302"/>
    <w:rsid w:val="006F3B59"/>
    <w:rsid w:val="00703984"/>
    <w:rsid w:val="0070566A"/>
    <w:rsid w:val="00721152"/>
    <w:rsid w:val="00744C8C"/>
    <w:rsid w:val="007526ED"/>
    <w:rsid w:val="00753815"/>
    <w:rsid w:val="00754026"/>
    <w:rsid w:val="00784A9A"/>
    <w:rsid w:val="00792A2E"/>
    <w:rsid w:val="0079318A"/>
    <w:rsid w:val="007A093B"/>
    <w:rsid w:val="007A4444"/>
    <w:rsid w:val="007B0410"/>
    <w:rsid w:val="007B0D77"/>
    <w:rsid w:val="007C274C"/>
    <w:rsid w:val="007C4729"/>
    <w:rsid w:val="007C567F"/>
    <w:rsid w:val="007E4A7C"/>
    <w:rsid w:val="007F1F1A"/>
    <w:rsid w:val="007F5AA2"/>
    <w:rsid w:val="008071C9"/>
    <w:rsid w:val="00810CD0"/>
    <w:rsid w:val="00812210"/>
    <w:rsid w:val="008177BD"/>
    <w:rsid w:val="0082397A"/>
    <w:rsid w:val="008539A2"/>
    <w:rsid w:val="0086783E"/>
    <w:rsid w:val="00875C2B"/>
    <w:rsid w:val="008763DC"/>
    <w:rsid w:val="0089395F"/>
    <w:rsid w:val="008C1284"/>
    <w:rsid w:val="008D0B42"/>
    <w:rsid w:val="008D3D64"/>
    <w:rsid w:val="008D7A3A"/>
    <w:rsid w:val="008F1CA9"/>
    <w:rsid w:val="0090056F"/>
    <w:rsid w:val="0090307B"/>
    <w:rsid w:val="00913E04"/>
    <w:rsid w:val="00915016"/>
    <w:rsid w:val="009248C1"/>
    <w:rsid w:val="00927648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1995"/>
    <w:rsid w:val="009C277E"/>
    <w:rsid w:val="009D0F95"/>
    <w:rsid w:val="009E29D5"/>
    <w:rsid w:val="009E776B"/>
    <w:rsid w:val="009F417F"/>
    <w:rsid w:val="00A130C3"/>
    <w:rsid w:val="00A1682A"/>
    <w:rsid w:val="00A51877"/>
    <w:rsid w:val="00A53637"/>
    <w:rsid w:val="00A63F3A"/>
    <w:rsid w:val="00A727E5"/>
    <w:rsid w:val="00A8693A"/>
    <w:rsid w:val="00AA689C"/>
    <w:rsid w:val="00AB0375"/>
    <w:rsid w:val="00AE3597"/>
    <w:rsid w:val="00B111C9"/>
    <w:rsid w:val="00B20D51"/>
    <w:rsid w:val="00B27B39"/>
    <w:rsid w:val="00B7005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C1A92"/>
    <w:rsid w:val="00BD0D98"/>
    <w:rsid w:val="00BD2367"/>
    <w:rsid w:val="00BE495B"/>
    <w:rsid w:val="00BF1BD3"/>
    <w:rsid w:val="00C1368E"/>
    <w:rsid w:val="00C16BD7"/>
    <w:rsid w:val="00C31345"/>
    <w:rsid w:val="00C620E1"/>
    <w:rsid w:val="00C83155"/>
    <w:rsid w:val="00CA2029"/>
    <w:rsid w:val="00CA3FB8"/>
    <w:rsid w:val="00CA455C"/>
    <w:rsid w:val="00CA6396"/>
    <w:rsid w:val="00CB00BD"/>
    <w:rsid w:val="00CD30C3"/>
    <w:rsid w:val="00CE077D"/>
    <w:rsid w:val="00CE44C4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2B"/>
    <w:rsid w:val="00DA7950"/>
    <w:rsid w:val="00DC6613"/>
    <w:rsid w:val="00DD3F67"/>
    <w:rsid w:val="00E0517F"/>
    <w:rsid w:val="00E2101C"/>
    <w:rsid w:val="00E21EA3"/>
    <w:rsid w:val="00E31FE4"/>
    <w:rsid w:val="00E46CB6"/>
    <w:rsid w:val="00E550DF"/>
    <w:rsid w:val="00E56607"/>
    <w:rsid w:val="00E718E1"/>
    <w:rsid w:val="00E956B8"/>
    <w:rsid w:val="00EA22A0"/>
    <w:rsid w:val="00EA6C70"/>
    <w:rsid w:val="00EE1A7D"/>
    <w:rsid w:val="00EE34B4"/>
    <w:rsid w:val="00EF0554"/>
    <w:rsid w:val="00EF12A6"/>
    <w:rsid w:val="00EF680A"/>
    <w:rsid w:val="00EF7221"/>
    <w:rsid w:val="00F00A29"/>
    <w:rsid w:val="00F01D98"/>
    <w:rsid w:val="00F12E60"/>
    <w:rsid w:val="00F20472"/>
    <w:rsid w:val="00F27A38"/>
    <w:rsid w:val="00F50A43"/>
    <w:rsid w:val="00F64632"/>
    <w:rsid w:val="00F92BE2"/>
    <w:rsid w:val="00F9322A"/>
    <w:rsid w:val="00FB513F"/>
    <w:rsid w:val="00FD0D14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MenoPendente">
    <w:name w:val="Unresolved Mention"/>
    <w:basedOn w:val="Fontepargpadro"/>
    <w:uiPriority w:val="99"/>
    <w:semiHidden/>
    <w:unhideWhenUsed/>
    <w:rsid w:val="004A31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v.br/ebserh/pt-br/governanca/governanca-corporativa/carta-anual-de-politicas-publicas-e-governanca-corporativa/CartaAnual2021Base202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2021-06-25T21:45:00Z</dcterms:created>
  <dcterms:modified xsi:type="dcterms:W3CDTF">2021-06-25T21:48:00Z</dcterms:modified>
</cp:coreProperties>
</file>